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Call for Board Members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Suzuki Charter School Society (SCSS) is seeking new volunteer board members who are willing to work collaboratively and are interested in good governance.  The SCSS board </w:t>
      </w:r>
      <w:r w:rsidDel="00000000" w:rsidR="00000000" w:rsidRPr="00000000">
        <w:rPr>
          <w:b w:val="1"/>
          <w:u w:val="single"/>
          <w:rtl w:val="0"/>
        </w:rPr>
        <w:t xml:space="preserve">does not</w:t>
      </w:r>
      <w:r w:rsidDel="00000000" w:rsidR="00000000" w:rsidRPr="00000000">
        <w:rPr>
          <w:rtl w:val="0"/>
        </w:rPr>
        <w:t xml:space="preserve"> conduct the day-to-day operations of the school.  The SCSS board works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closely with the Superintendent of Schools, sets policies, approves annual budgets, develops a strategic plan and serves as an advocate for the school.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Qualifications</w:t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As per Bylaw 9 (c) of the SCCS Bylaws - Qualifications</w:t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081"/>
        </w:tabs>
        <w:ind w:left="35" w:firstLine="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No person shall be qualified for election or continue to hold office as a Director if he/she: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081"/>
        </w:tabs>
        <w:ind w:left="35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0" w:firstLine="0"/>
        <w:jc w:val="left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i. is less than 18 years of age;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0" w:firstLine="0"/>
        <w:jc w:val="left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ii. is an employee of Suzuki Charter School Society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0" w:firstLine="0"/>
        <w:jc w:val="left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iii. is not an individual;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0" w:firstLine="0"/>
        <w:jc w:val="left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iv. has the status of a bankrupt; or,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0" w:firstLine="0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v. is not ordinarily resident in Alberta.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Rule="auto"/>
        <w:ind w:left="0" w:right="270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v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i. the spouse/partner of an existing board director</w:t>
      </w:r>
    </w:p>
    <w:p w:rsidR="00000000" w:rsidDel="00000000" w:rsidP="00000000" w:rsidRDefault="00000000" w:rsidRPr="00000000" w14:paraId="00000013">
      <w:pPr>
        <w:ind w:left="0" w:right="270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vii. the spouse/partner of a Suzuki Charter School employee</w:t>
      </w:r>
    </w:p>
    <w:p w:rsidR="00000000" w:rsidDel="00000000" w:rsidP="00000000" w:rsidRDefault="00000000" w:rsidRPr="00000000" w14:paraId="00000014">
      <w:pPr>
        <w:ind w:left="0" w:right="270" w:firstLine="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viii. an employee of Suzuki Charter School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1"/>
        </w:tabs>
        <w:spacing w:after="0" w:before="0" w:line="240" w:lineRule="auto"/>
        <w:ind w:left="0" w:right="0" w:firstLine="0"/>
        <w:jc w:val="left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Duties </w:t>
      </w:r>
    </w:p>
    <w:p w:rsidR="00000000" w:rsidDel="00000000" w:rsidP="00000000" w:rsidRDefault="00000000" w:rsidRPr="00000000" w14:paraId="00000017">
      <w:pPr>
        <w:spacing w:after="120" w:line="242.99999999999997" w:lineRule="auto"/>
        <w:ind w:left="720" w:right="14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Board shall: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1445" w:right="144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and implement Board policy;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1445" w:right="144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that the Charter School complies with board policy, the terms of the Charter, and provincial legislation and regulations;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1445" w:right="144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guided by the philosophy, objectives and </w:t>
      </w:r>
      <w:r w:rsidDel="00000000" w:rsidR="00000000" w:rsidRPr="00000000">
        <w:rPr>
          <w:rtl w:val="0"/>
        </w:rPr>
        <w:t xml:space="preserve">vision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Charter School and the objects of the Society;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1445" w:right="144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hire a Superintendent to supervise the operation of the Charter School and the provision of education programs subject to the School Act;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1445" w:right="144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responsible for the governance of the Charter School and is accountable to the membership of the Society and to the Minister of Education for the performance of the school.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u w:val="single"/>
          <w:rtl w:val="0"/>
        </w:rPr>
        <w:t xml:space="preserve">Time Commitment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Meetings– monthly board meetings September to June.  Meetings typically last 2.5 hours.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Committees – Board directors are expected to sit on at least one standing committee.  Committees include finance, governance and human resources.  Time commitment for committee work varies, averaging 6-8 hours per school year.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Development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SCSS is committed to providing professional development for all board directors.  All directors are expected to attend professional development opportunities.  The board as a whole decides annually what areas of professional development they want to focus on.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Terms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Three (3) year term or until resignation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director may run for only two consecutive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left"/>
      <w:pPr>
        <w:ind w:left="1800" w:hanging="72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lowerLetter"/>
      <w:lvlText w:val="(%4)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508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B0623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1"/>
    <w:qFormat w:val="1"/>
    <w:rsid w:val="00EB1023"/>
    <w:pPr>
      <w:spacing w:after="120"/>
    </w:pPr>
    <w:rPr>
      <w:rFonts w:cs="Times New Roman"/>
      <w:sz w:val="22"/>
      <w:szCs w:val="22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B1023"/>
    <w:rPr>
      <w:rFonts w:cs="Times New Roman"/>
      <w:sz w:val="22"/>
      <w:szCs w:val="22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YNXZYevEzVCM5HYaI5r1RI6TxQ==">CgMxLjA4AHIhMUtHWXBMTmQ0aUtUQm5JejhrcFpMRVljbkNPbGhZSERs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2024-05-27T19:36:00Z</dcterms:created>
  <dc:creator>Heather Christison</dc:creator>
</cp:coreProperties>
</file>